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3E9813D0" w14:textId="53D50242" w:rsidR="00CD2A02" w:rsidRPr="00225A85" w:rsidRDefault="00A7517E" w:rsidP="00CD2A02">
            <w:pPr>
              <w:pStyle w:val="Default"/>
              <w:rPr>
                <w:color w:val="FF0000"/>
                <w:sz w:val="22"/>
                <w:szCs w:val="22"/>
              </w:rPr>
            </w:pPr>
            <w:r w:rsidRPr="00D54377">
              <w:t xml:space="preserve">Obudowa musi umożliwiać bez narzędziowe otwarcie, demontaż dysku M.2, napędu optycznego oraz kart rozszerzeń. </w:t>
            </w:r>
            <w:proofErr w:type="spellStart"/>
            <w:r w:rsidR="00CD2A02" w:rsidRPr="00CD2A02">
              <w:rPr>
                <w:color w:val="FF0000"/>
              </w:rPr>
              <w:t>D</w:t>
            </w:r>
            <w:r w:rsidR="00CD2A02" w:rsidRPr="00225A85">
              <w:rPr>
                <w:color w:val="FF0000"/>
                <w:sz w:val="22"/>
                <w:szCs w:val="22"/>
              </w:rPr>
              <w:t>opuszcza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="004055CF">
              <w:rPr>
                <w:color w:val="FF0000"/>
                <w:sz w:val="22"/>
                <w:szCs w:val="22"/>
              </w:rPr>
              <w:t>się</w:t>
            </w:r>
            <w:proofErr w:type="spellEnd"/>
            <w:r w:rsidR="004055C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zastosowani</w:t>
            </w:r>
            <w:r w:rsidR="00CD2A02">
              <w:rPr>
                <w:color w:val="FF0000"/>
                <w:sz w:val="22"/>
                <w:szCs w:val="22"/>
              </w:rPr>
              <w:t>e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narzędzi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przy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demontażu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dysku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>.</w:t>
            </w:r>
          </w:p>
          <w:p w14:paraId="46CFBAE6" w14:textId="6B3CDA44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4AE51D18" w:rsidR="00A7517E" w:rsidRPr="00FB41CD" w:rsidRDefault="00FB41CD" w:rsidP="00FB41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</w:t>
            </w:r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opuszcza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się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„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Wbudowane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porty: 9 x USB w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tym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min.: 2x USB </w:t>
            </w:r>
            <w:commentRangeStart w:id="0"/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typ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- A z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przodu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obudowy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oraz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1x USB-C”</w:t>
            </w:r>
            <w:commentRangeEnd w:id="0"/>
            <w:r w:rsidRPr="00FB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0"/>
            </w:r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0F281F38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 xml:space="preserve">- modelu komputera, </w:t>
            </w:r>
          </w:p>
          <w:p w14:paraId="51621708" w14:textId="7842900F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r w:rsidR="00AB73F1" w:rsidRPr="00D54377">
              <w:rPr>
                <w:rFonts w:ascii="Times New Roman" w:hAnsi="Times New Roman" w:cs="Times New Roman"/>
              </w:rPr>
              <w:t>PN</w:t>
            </w:r>
            <w:r w:rsidR="00AB73F1">
              <w:rPr>
                <w:rFonts w:ascii="Times New Roman" w:hAnsi="Times New Roman" w:cs="Times New Roman"/>
              </w:rPr>
              <w:t xml:space="preserve"> komputera</w:t>
            </w:r>
            <w:r w:rsidR="00AB73F1" w:rsidRPr="00D54377">
              <w:rPr>
                <w:rFonts w:ascii="Times New Roman" w:hAnsi="Times New Roman" w:cs="Times New Roman"/>
              </w:rPr>
              <w:t xml:space="preserve"> </w:t>
            </w:r>
            <w:r w:rsidR="00AB73F1">
              <w:rPr>
                <w:rFonts w:ascii="Times New Roman" w:hAnsi="Times New Roman" w:cs="Times New Roman"/>
              </w:rPr>
              <w:t xml:space="preserve">lub </w:t>
            </w:r>
            <w:r w:rsidRPr="00D54377">
              <w:rPr>
                <w:rFonts w:ascii="Times New Roman" w:hAnsi="Times New Roman" w:cs="Times New Roman"/>
              </w:rPr>
              <w:t>num</w:t>
            </w:r>
            <w:r w:rsidR="00AB73F1">
              <w:rPr>
                <w:rFonts w:ascii="Times New Roman" w:hAnsi="Times New Roman" w:cs="Times New Roman"/>
              </w:rPr>
              <w:t>er seryjny komputera</w:t>
            </w:r>
            <w:r w:rsidRPr="00D54377">
              <w:rPr>
                <w:rFonts w:ascii="Times New Roman" w:hAnsi="Times New Roman" w:cs="Times New Roman"/>
              </w:rPr>
              <w:t>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5F00E5CC" w:rsidR="00A7517E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407CA5A4" w14:textId="08EB58F3" w:rsidR="00D379A5" w:rsidRDefault="00D379A5" w:rsidP="00A7517E">
            <w:pPr>
              <w:rPr>
                <w:rFonts w:ascii="Times New Roman" w:hAnsi="Times New Roman" w:cs="Times New Roman"/>
              </w:rPr>
            </w:pPr>
          </w:p>
          <w:p w14:paraId="47C029FC" w14:textId="0932F61F" w:rsidR="00D379A5" w:rsidRPr="00D379A5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19A0D0FD" w14:textId="77777777" w:rsidR="00A7517E" w:rsidRPr="00D379A5" w:rsidRDefault="00A7517E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- możliwość ustawienia portów USB w jednym z dwóch trybów:</w:t>
            </w:r>
          </w:p>
          <w:p w14:paraId="497E47A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C90F33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A937C9" w14:textId="77777777" w:rsidR="00555357" w:rsidRDefault="00555357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56538A1E" w14:textId="2F42C5C1" w:rsidR="00D379A5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M</w:t>
            </w:r>
            <w:r w:rsidR="009A4C6F" w:rsidRPr="00D379A5">
              <w:rPr>
                <w:rFonts w:ascii="Times New Roman" w:hAnsi="Times New Roman" w:cs="Times New Roman"/>
                <w:color w:val="4472C4" w:themeColor="accent1"/>
              </w:rPr>
              <w:t xml:space="preserve">ożliwość ustawienia portów USB </w:t>
            </w:r>
            <w:r w:rsidR="009A4C6F">
              <w:rPr>
                <w:rFonts w:ascii="Times New Roman" w:hAnsi="Times New Roman" w:cs="Times New Roman"/>
                <w:color w:val="4472C4" w:themeColor="accent1"/>
              </w:rPr>
              <w:t>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 xml:space="preserve"> USB-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 5 pkt</w:t>
            </w:r>
          </w:p>
          <w:p w14:paraId="772F62F1" w14:textId="77777777" w:rsidR="009A4C6F" w:rsidRDefault="009A4C6F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2FD0763A" w14:textId="7985771F" w:rsidR="00A7517E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Brak 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>możliwoś</w:t>
            </w:r>
            <w:r>
              <w:rPr>
                <w:rFonts w:ascii="Times New Roman" w:hAnsi="Times New Roman" w:cs="Times New Roman"/>
                <w:color w:val="4472C4" w:themeColor="accent1"/>
              </w:rPr>
              <w:t>ci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 xml:space="preserve"> ustawienia portów USB 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>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0 pkt</w:t>
            </w:r>
          </w:p>
          <w:p w14:paraId="45C67F10" w14:textId="77777777" w:rsidR="00D379A5" w:rsidRPr="0080788D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36AD3289" w14:textId="77777777" w:rsidR="00555357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</w:p>
          <w:p w14:paraId="02BF064C" w14:textId="40A7EBD1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19309B6A" w14:textId="77777777" w:rsidR="00555357" w:rsidRPr="00D379A5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050E85D3" w14:textId="77777777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75615411" w14:textId="14C82AF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E0F4D">
              <w:rPr>
                <w:rFonts w:ascii="Times New Roman" w:hAnsi="Times New Roman" w:cs="Times New Roman"/>
                <w:color w:val="4472C4" w:themeColor="accent1"/>
              </w:rPr>
              <w:t>- kontrola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- 5 pkt</w:t>
            </w:r>
          </w:p>
          <w:p w14:paraId="5E24F6CF" w14:textId="7777777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1711529" w14:textId="08B22F94" w:rsidR="00A7517E" w:rsidRPr="00A7517E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Brak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kontrol</w:t>
            </w:r>
            <w:r>
              <w:rPr>
                <w:rFonts w:ascii="Times New Roman" w:hAnsi="Times New Roman" w:cs="Times New Roman"/>
                <w:color w:val="4472C4" w:themeColor="accent1"/>
              </w:rPr>
              <w:t>i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- 0 pkt</w:t>
            </w:r>
            <w:r w:rsidR="00A7517E"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17EF7592" w:rsidR="00A7517E" w:rsidRPr="00DA4B13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  <w:color w:val="FF0000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  <w:r w:rsidR="00DA4B13">
              <w:rPr>
                <w:rFonts w:ascii="Times New Roman" w:hAnsi="Times New Roman"/>
              </w:rPr>
              <w:t xml:space="preserve">. </w:t>
            </w:r>
            <w:r w:rsidR="00DA4B13" w:rsidRPr="00DA4B13">
              <w:rPr>
                <w:rFonts w:ascii="Times New Roman" w:hAnsi="Times New Roman"/>
                <w:color w:val="FF0000"/>
              </w:rPr>
              <w:t>Dopuszcza się tylko wersję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4B8E33F" w14:textId="65595809" w:rsid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  <w:r w:rsidR="003E187F">
              <w:rPr>
                <w:rFonts w:ascii="Times New Roman" w:hAnsi="Times New Roman" w:cs="Times New Roman"/>
                <w:bCs/>
              </w:rPr>
              <w:t>.</w:t>
            </w:r>
          </w:p>
          <w:p w14:paraId="6031E275" w14:textId="0A7A5F24" w:rsidR="003E187F" w:rsidRPr="00CD2A02" w:rsidRDefault="003E187F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D2A02">
              <w:rPr>
                <w:rFonts w:ascii="Times New Roman" w:hAnsi="Times New Roman" w:cs="Times New Roman"/>
                <w:color w:val="FF0000"/>
              </w:rPr>
              <w:t>Dopuszcza się komputer bez zaczepu umożliwiającego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F0CCF09" w:rsidR="00A7517E" w:rsidRPr="009C662B" w:rsidRDefault="000465DC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3</w:t>
            </w:r>
            <w:r w:rsidR="00A7517E" w:rsidRPr="009C662B">
              <w:rPr>
                <w:rFonts w:ascii="Times New Roman" w:hAnsi="Times New Roman" w:cs="Times New Roman"/>
                <w:bCs/>
              </w:rPr>
              <w:t xml:space="preserve"> lata gwarancji producenta świadczona w miejscu użytkowania sprzętu (on-</w:t>
            </w:r>
            <w:proofErr w:type="spellStart"/>
            <w:r w:rsidR="00A7517E" w:rsidRPr="009C662B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="00A7517E" w:rsidRPr="009C662B">
              <w:rPr>
                <w:rFonts w:ascii="Times New Roman" w:hAnsi="Times New Roman" w:cs="Times New Roman"/>
                <w:bCs/>
              </w:rPr>
              <w:t>), z naprawą na następny dzień roboczy od momentu zgłoszenia</w:t>
            </w:r>
          </w:p>
          <w:p w14:paraId="72EDE5D1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2B967B90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W przypadku awarii dysku twardego dysk uszkodzony pozostaje u Zamawiającego.</w:t>
            </w:r>
          </w:p>
          <w:p w14:paraId="470F07DF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  <w:bCs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Zamawiający wymaga dostarczenia przełącznika kompatybilnego z przełącznikiem HPE Aruba 2540 JL355A ze względu na posiadanie już przełączników serii w swojej infrastrukturze oraz ze względu na możliwość pełnej integracji z 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Min. 12</w:t>
            </w:r>
            <w:r w:rsidR="009134D9" w:rsidRPr="009C662B">
              <w:rPr>
                <w:rFonts w:ascii="Times New Roman" w:hAnsi="Times New Roman" w:cs="Times New Roman"/>
              </w:rPr>
              <w:t>M</w:t>
            </w:r>
            <w:r w:rsidRPr="009C66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Pełna integracja z posiadanym przez zamawiającego oprogramowaniem HPE IMC w zakresie monitoringu i pełnego 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nisława Masłowska" w:date="2021-07-26T11:47:00Z" w:initials="SM">
    <w:p w14:paraId="5D608EE8" w14:textId="77777777" w:rsidR="00FB41CD" w:rsidRDefault="00FB41CD" w:rsidP="00FB41C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608E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1F50" w16cex:dateUtc="2021-07-26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08EE8" w16cid:durableId="24A9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77777777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>DZPZ / 333 / 15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ława Masłowska">
    <w15:presenceInfo w15:providerId="AD" w15:userId="S::maslowskas@wssolsztyn.onmicrosoft.com::6c547f07-5241-4d62-87b5-098b0d04b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0465DC"/>
    <w:rsid w:val="000C77A0"/>
    <w:rsid w:val="00123478"/>
    <w:rsid w:val="003E187F"/>
    <w:rsid w:val="004055CF"/>
    <w:rsid w:val="00555357"/>
    <w:rsid w:val="006C187F"/>
    <w:rsid w:val="007C009D"/>
    <w:rsid w:val="0080788D"/>
    <w:rsid w:val="009134D9"/>
    <w:rsid w:val="009A4C6F"/>
    <w:rsid w:val="009C662B"/>
    <w:rsid w:val="00A7517E"/>
    <w:rsid w:val="00AB73F1"/>
    <w:rsid w:val="00B54B4E"/>
    <w:rsid w:val="00BC2B58"/>
    <w:rsid w:val="00CD2A02"/>
    <w:rsid w:val="00D34090"/>
    <w:rsid w:val="00D379A5"/>
    <w:rsid w:val="00DA4B13"/>
    <w:rsid w:val="00DE0F4D"/>
    <w:rsid w:val="00DE5600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  <w:style w:type="character" w:styleId="Odwoaniedokomentarza">
    <w:name w:val="annotation reference"/>
    <w:basedOn w:val="Domylnaczcionkaakapitu"/>
    <w:rsid w:val="00FB41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41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D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Stanisława Masłowska</cp:lastModifiedBy>
  <cp:revision>3</cp:revision>
  <dcterms:created xsi:type="dcterms:W3CDTF">2021-07-26T10:23:00Z</dcterms:created>
  <dcterms:modified xsi:type="dcterms:W3CDTF">2021-07-26T10:44:00Z</dcterms:modified>
</cp:coreProperties>
</file>